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CC3" w:rsidRPr="00650CC3" w:rsidRDefault="00650CC3" w:rsidP="00650CC3">
      <w:pPr>
        <w:spacing w:line="480" w:lineRule="auto"/>
        <w:rPr>
          <w:rFonts w:ascii="Times New Roman" w:hAnsi="Times New Roman" w:cs="Times New Roman"/>
          <w:sz w:val="24"/>
          <w:szCs w:val="24"/>
          <w:shd w:val="clear" w:color="auto" w:fill="FFFFFF"/>
        </w:rPr>
      </w:pPr>
    </w:p>
    <w:p w:rsidR="00650CC3" w:rsidRPr="00650CC3" w:rsidRDefault="00650CC3" w:rsidP="00650CC3">
      <w:pPr>
        <w:spacing w:line="480" w:lineRule="auto"/>
        <w:rPr>
          <w:rFonts w:ascii="Times New Roman" w:hAnsi="Times New Roman" w:cs="Times New Roman"/>
          <w:sz w:val="24"/>
          <w:szCs w:val="24"/>
          <w:shd w:val="clear" w:color="auto" w:fill="FFFFFF"/>
        </w:rPr>
      </w:pPr>
    </w:p>
    <w:p w:rsidR="00650CC3" w:rsidRPr="00650CC3" w:rsidRDefault="00650CC3" w:rsidP="00650CC3">
      <w:pPr>
        <w:spacing w:line="480" w:lineRule="auto"/>
        <w:rPr>
          <w:rFonts w:ascii="Times New Roman" w:hAnsi="Times New Roman" w:cs="Times New Roman"/>
          <w:sz w:val="24"/>
          <w:szCs w:val="24"/>
          <w:shd w:val="clear" w:color="auto" w:fill="FFFFFF"/>
        </w:rPr>
      </w:pPr>
    </w:p>
    <w:p w:rsidR="00650CC3" w:rsidRPr="00650CC3" w:rsidRDefault="00650CC3" w:rsidP="00650CC3">
      <w:pPr>
        <w:spacing w:line="480" w:lineRule="auto"/>
        <w:rPr>
          <w:rFonts w:ascii="Times New Roman" w:hAnsi="Times New Roman" w:cs="Times New Roman"/>
          <w:sz w:val="24"/>
          <w:szCs w:val="24"/>
          <w:shd w:val="clear" w:color="auto" w:fill="FFFFFF"/>
        </w:rPr>
      </w:pPr>
    </w:p>
    <w:p w:rsidR="00650CC3" w:rsidRPr="00650CC3" w:rsidRDefault="00650CC3" w:rsidP="00650CC3">
      <w:pPr>
        <w:spacing w:line="480" w:lineRule="auto"/>
        <w:rPr>
          <w:rFonts w:ascii="Times New Roman" w:hAnsi="Times New Roman" w:cs="Times New Roman"/>
          <w:sz w:val="24"/>
          <w:szCs w:val="24"/>
          <w:shd w:val="clear" w:color="auto" w:fill="FFFFFF"/>
        </w:rPr>
      </w:pPr>
    </w:p>
    <w:p w:rsidR="00650CC3" w:rsidRPr="00650CC3" w:rsidRDefault="00650CC3" w:rsidP="00650CC3">
      <w:pPr>
        <w:spacing w:line="480" w:lineRule="auto"/>
        <w:rPr>
          <w:rFonts w:ascii="Times New Roman" w:hAnsi="Times New Roman" w:cs="Times New Roman"/>
          <w:sz w:val="24"/>
          <w:szCs w:val="24"/>
          <w:shd w:val="clear" w:color="auto" w:fill="FFFFFF"/>
        </w:rPr>
      </w:pPr>
    </w:p>
    <w:p w:rsidR="00650CC3" w:rsidRPr="00650CC3" w:rsidRDefault="00650CC3" w:rsidP="00650CC3">
      <w:pPr>
        <w:spacing w:line="480" w:lineRule="auto"/>
        <w:jc w:val="center"/>
        <w:rPr>
          <w:rFonts w:ascii="Times New Roman" w:hAnsi="Times New Roman" w:cs="Times New Roman"/>
          <w:sz w:val="24"/>
          <w:szCs w:val="24"/>
        </w:rPr>
      </w:pPr>
      <w:r w:rsidRPr="00650CC3">
        <w:rPr>
          <w:rFonts w:ascii="Times New Roman" w:hAnsi="Times New Roman" w:cs="Times New Roman"/>
          <w:sz w:val="24"/>
          <w:szCs w:val="24"/>
        </w:rPr>
        <w:t>The Temperance Movement and Prohibition</w:t>
      </w:r>
    </w:p>
    <w:p w:rsidR="00650CC3" w:rsidRPr="00650CC3" w:rsidRDefault="00650CC3" w:rsidP="00650CC3">
      <w:pPr>
        <w:spacing w:line="480" w:lineRule="auto"/>
        <w:jc w:val="center"/>
        <w:rPr>
          <w:rFonts w:ascii="Times New Roman" w:hAnsi="Times New Roman" w:cs="Times New Roman"/>
          <w:sz w:val="24"/>
          <w:szCs w:val="24"/>
        </w:rPr>
      </w:pPr>
      <w:r w:rsidRPr="00650CC3">
        <w:rPr>
          <w:rFonts w:ascii="Times New Roman" w:hAnsi="Times New Roman" w:cs="Times New Roman"/>
          <w:sz w:val="24"/>
          <w:szCs w:val="24"/>
        </w:rPr>
        <w:t>Name of Student</w:t>
      </w:r>
    </w:p>
    <w:p w:rsidR="00650CC3" w:rsidRPr="00650CC3" w:rsidRDefault="00650CC3" w:rsidP="00650CC3">
      <w:pPr>
        <w:spacing w:line="480" w:lineRule="auto"/>
        <w:jc w:val="center"/>
        <w:rPr>
          <w:rFonts w:ascii="Times New Roman" w:hAnsi="Times New Roman" w:cs="Times New Roman"/>
          <w:sz w:val="24"/>
          <w:szCs w:val="24"/>
        </w:rPr>
      </w:pPr>
      <w:r w:rsidRPr="00650CC3">
        <w:rPr>
          <w:rFonts w:ascii="Times New Roman" w:hAnsi="Times New Roman" w:cs="Times New Roman"/>
          <w:sz w:val="24"/>
          <w:szCs w:val="24"/>
        </w:rPr>
        <w:t>Name of Institution</w:t>
      </w:r>
    </w:p>
    <w:p w:rsidR="00650CC3" w:rsidRPr="00650CC3" w:rsidRDefault="00650CC3" w:rsidP="00650CC3">
      <w:pPr>
        <w:spacing w:line="480" w:lineRule="auto"/>
        <w:jc w:val="center"/>
        <w:rPr>
          <w:rFonts w:ascii="Times New Roman" w:hAnsi="Times New Roman" w:cs="Times New Roman"/>
          <w:sz w:val="24"/>
          <w:szCs w:val="24"/>
          <w:shd w:val="clear" w:color="auto" w:fill="FFFFFF"/>
        </w:rPr>
      </w:pPr>
      <w:r w:rsidRPr="00650CC3">
        <w:rPr>
          <w:rFonts w:ascii="Times New Roman" w:hAnsi="Times New Roman" w:cs="Times New Roman"/>
          <w:sz w:val="24"/>
          <w:szCs w:val="24"/>
        </w:rPr>
        <w:t>Date</w:t>
      </w:r>
      <w:r w:rsidRPr="00650CC3">
        <w:rPr>
          <w:rFonts w:ascii="Times New Roman" w:hAnsi="Times New Roman" w:cs="Times New Roman"/>
          <w:sz w:val="24"/>
          <w:szCs w:val="24"/>
          <w:shd w:val="clear" w:color="auto" w:fill="FFFFFF"/>
        </w:rPr>
        <w:t xml:space="preserve"> </w:t>
      </w:r>
      <w:r w:rsidRPr="00650CC3">
        <w:rPr>
          <w:rFonts w:ascii="Times New Roman" w:hAnsi="Times New Roman" w:cs="Times New Roman"/>
          <w:sz w:val="24"/>
          <w:szCs w:val="24"/>
          <w:shd w:val="clear" w:color="auto" w:fill="FFFFFF"/>
        </w:rPr>
        <w:br w:type="page"/>
      </w:r>
    </w:p>
    <w:p w:rsidR="00F50D26" w:rsidRPr="00650CC3" w:rsidRDefault="00F50D26" w:rsidP="00650CC3">
      <w:pPr>
        <w:pStyle w:val="ListParagraph"/>
        <w:numPr>
          <w:ilvl w:val="0"/>
          <w:numId w:val="1"/>
        </w:numPr>
        <w:spacing w:line="480" w:lineRule="auto"/>
        <w:rPr>
          <w:rFonts w:ascii="Times New Roman" w:hAnsi="Times New Roman" w:cs="Times New Roman"/>
          <w:b/>
          <w:sz w:val="24"/>
          <w:szCs w:val="24"/>
          <w:shd w:val="clear" w:color="auto" w:fill="FFFFFF"/>
        </w:rPr>
      </w:pPr>
      <w:r w:rsidRPr="00650CC3">
        <w:rPr>
          <w:rFonts w:ascii="Times New Roman" w:hAnsi="Times New Roman" w:cs="Times New Roman"/>
          <w:b/>
          <w:sz w:val="24"/>
          <w:szCs w:val="24"/>
          <w:shd w:val="clear" w:color="auto" w:fill="FFFFFF"/>
        </w:rPr>
        <w:lastRenderedPageBreak/>
        <w:t xml:space="preserve">Describe the historical roots of the temperance movement in the Nineteenth Century, how it started, how it was connected to other movements, and how it evolved as a grassroots movement. </w:t>
      </w:r>
    </w:p>
    <w:p w:rsidR="00D97300" w:rsidRPr="00650CC3" w:rsidRDefault="00D97300" w:rsidP="00650CC3">
      <w:pPr>
        <w:spacing w:line="480" w:lineRule="auto"/>
        <w:ind w:firstLine="72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 xml:space="preserve">The aim of the </w:t>
      </w:r>
      <w:r w:rsidR="00356FC6" w:rsidRPr="00650CC3">
        <w:rPr>
          <w:rFonts w:ascii="Times New Roman" w:hAnsi="Times New Roman" w:cs="Times New Roman"/>
          <w:sz w:val="24"/>
          <w:szCs w:val="24"/>
          <w:shd w:val="clear" w:color="auto" w:fill="FFFFFF"/>
        </w:rPr>
        <w:t xml:space="preserve">temperance </w:t>
      </w:r>
      <w:r w:rsidRPr="00650CC3">
        <w:rPr>
          <w:rFonts w:ascii="Times New Roman" w:hAnsi="Times New Roman" w:cs="Times New Roman"/>
          <w:sz w:val="24"/>
          <w:szCs w:val="24"/>
          <w:shd w:val="clear" w:color="auto" w:fill="FFFFFF"/>
        </w:rPr>
        <w:t>movement was to encourage moderation in the consumption of alcohol, or to push for legislation that demanded for absolute abstinence. The main composition of those supporting were women</w:t>
      </w:r>
      <w:r w:rsidR="00931116" w:rsidRPr="00650CC3">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10659350"/>
          <w:citation/>
        </w:sdtPr>
        <w:sdtEndPr/>
        <w:sdtContent>
          <w:r w:rsidR="00931116" w:rsidRPr="00650CC3">
            <w:rPr>
              <w:rFonts w:ascii="Times New Roman" w:hAnsi="Times New Roman" w:cs="Times New Roman"/>
              <w:sz w:val="24"/>
              <w:szCs w:val="24"/>
              <w:shd w:val="clear" w:color="auto" w:fill="FFFFFF"/>
            </w:rPr>
            <w:fldChar w:fldCharType="begin"/>
          </w:r>
          <w:r w:rsidR="00931116" w:rsidRPr="00650CC3">
            <w:rPr>
              <w:rFonts w:ascii="Times New Roman" w:hAnsi="Times New Roman" w:cs="Times New Roman"/>
              <w:sz w:val="24"/>
              <w:szCs w:val="24"/>
              <w:shd w:val="clear" w:color="auto" w:fill="FFFFFF"/>
            </w:rPr>
            <w:instrText xml:space="preserve"> CITATION DPL19 \l 1033 </w:instrText>
          </w:r>
          <w:r w:rsidR="00931116" w:rsidRPr="00650CC3">
            <w:rPr>
              <w:rFonts w:ascii="Times New Roman" w:hAnsi="Times New Roman" w:cs="Times New Roman"/>
              <w:sz w:val="24"/>
              <w:szCs w:val="24"/>
              <w:shd w:val="clear" w:color="auto" w:fill="FFFFFF"/>
            </w:rPr>
            <w:fldChar w:fldCharType="separate"/>
          </w:r>
          <w:r w:rsidR="00931116" w:rsidRPr="00650CC3">
            <w:rPr>
              <w:rFonts w:ascii="Times New Roman" w:hAnsi="Times New Roman" w:cs="Times New Roman"/>
              <w:noProof/>
              <w:sz w:val="24"/>
              <w:szCs w:val="24"/>
              <w:shd w:val="clear" w:color="auto" w:fill="FFFFFF"/>
            </w:rPr>
            <w:t>(DPLA)</w:t>
          </w:r>
          <w:r w:rsidR="00931116" w:rsidRPr="00650CC3">
            <w:rPr>
              <w:rFonts w:ascii="Times New Roman" w:hAnsi="Times New Roman" w:cs="Times New Roman"/>
              <w:sz w:val="24"/>
              <w:szCs w:val="24"/>
              <w:shd w:val="clear" w:color="auto" w:fill="FFFFFF"/>
            </w:rPr>
            <w:fldChar w:fldCharType="end"/>
          </w:r>
        </w:sdtContent>
      </w:sdt>
      <w:r w:rsidRPr="00650CC3">
        <w:rPr>
          <w:rFonts w:ascii="Times New Roman" w:hAnsi="Times New Roman" w:cs="Times New Roman"/>
          <w:sz w:val="24"/>
          <w:szCs w:val="24"/>
          <w:shd w:val="clear" w:color="auto" w:fill="FFFFFF"/>
        </w:rPr>
        <w:t>. In the beginning of the movement, moral suasion was the technique employed within their initiative. The proposers placed significant blame on the intoxicating liquors for the challenges fac</w:t>
      </w:r>
      <w:r w:rsidR="003434CF" w:rsidRPr="00650CC3">
        <w:rPr>
          <w:rFonts w:ascii="Times New Roman" w:hAnsi="Times New Roman" w:cs="Times New Roman"/>
          <w:sz w:val="24"/>
          <w:szCs w:val="24"/>
          <w:shd w:val="clear" w:color="auto" w:fill="FFFFFF"/>
        </w:rPr>
        <w:t>ed by the society, inclusive of</w:t>
      </w:r>
      <w:r w:rsidRPr="00650CC3">
        <w:rPr>
          <w:rFonts w:ascii="Times New Roman" w:hAnsi="Times New Roman" w:cs="Times New Roman"/>
          <w:sz w:val="24"/>
          <w:szCs w:val="24"/>
          <w:shd w:val="clear" w:color="auto" w:fill="FFFFFF"/>
        </w:rPr>
        <w:t xml:space="preserve">; crime, destitution, and severe health problems. </w:t>
      </w:r>
      <w:r w:rsidR="003434CF" w:rsidRPr="00650CC3">
        <w:rPr>
          <w:rFonts w:ascii="Times New Roman" w:hAnsi="Times New Roman" w:cs="Times New Roman"/>
          <w:sz w:val="24"/>
          <w:szCs w:val="24"/>
          <w:shd w:val="clear" w:color="auto" w:fill="FFFFFF"/>
        </w:rPr>
        <w:t xml:space="preserve">During the conception of the movement, John Bartholomew Gough was a prominent preacher promulgating in proposition in the 1800s. </w:t>
      </w:r>
    </w:p>
    <w:p w:rsidR="00B62C60" w:rsidRPr="00650CC3" w:rsidRDefault="003434CF" w:rsidP="00650CC3">
      <w:pPr>
        <w:spacing w:line="480" w:lineRule="auto"/>
        <w:ind w:firstLine="72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 xml:space="preserve">The years 1808 and 1813 witnessed the establishment of temperance associations in New York and Massachusetts respectively. The next establishment encompassed notion from dominations; the American Society for the Promotion of Temperance in 1826. The influence of the pulpit in the movement led to about 6,000 local groups in support of temperance by the 1830s in several states. </w:t>
      </w:r>
      <w:r w:rsidR="007439AE" w:rsidRPr="00650CC3">
        <w:rPr>
          <w:rFonts w:ascii="Times New Roman" w:hAnsi="Times New Roman" w:cs="Times New Roman"/>
          <w:sz w:val="24"/>
          <w:szCs w:val="24"/>
          <w:shd w:val="clear" w:color="auto" w:fill="FFFFFF"/>
        </w:rPr>
        <w:t xml:space="preserve">The movement also made use of advocates out of the influence within, one such advocate was Carry Nation. Besides their activities in politics and morality, other notable </w:t>
      </w:r>
      <w:r w:rsidR="00C15644" w:rsidRPr="00650CC3">
        <w:rPr>
          <w:rFonts w:ascii="Times New Roman" w:hAnsi="Times New Roman" w:cs="Times New Roman"/>
          <w:sz w:val="24"/>
          <w:szCs w:val="24"/>
          <w:shd w:val="clear" w:color="auto" w:fill="FFFFFF"/>
        </w:rPr>
        <w:t>traits of modern temperance movements were</w:t>
      </w:r>
      <w:r w:rsidR="007439AE" w:rsidRPr="00650CC3">
        <w:rPr>
          <w:rFonts w:ascii="Times New Roman" w:hAnsi="Times New Roman" w:cs="Times New Roman"/>
          <w:sz w:val="24"/>
          <w:szCs w:val="24"/>
          <w:shd w:val="clear" w:color="auto" w:fill="FFFFFF"/>
        </w:rPr>
        <w:t xml:space="preserve"> organized cooperation from women and an international scope for their initiatives. </w:t>
      </w:r>
    </w:p>
    <w:p w:rsidR="003434CF" w:rsidRPr="00650CC3" w:rsidRDefault="00C15644" w:rsidP="00650CC3">
      <w:pPr>
        <w:spacing w:line="480" w:lineRule="auto"/>
        <w:ind w:firstLine="72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Utica New York became the base of formation for the Order of Good Templars</w:t>
      </w:r>
      <w:r w:rsidR="00B579D6" w:rsidRPr="00650CC3">
        <w:rPr>
          <w:rFonts w:ascii="Times New Roman" w:hAnsi="Times New Roman" w:cs="Times New Roman"/>
          <w:sz w:val="24"/>
          <w:szCs w:val="24"/>
          <w:shd w:val="clear" w:color="auto" w:fill="FFFFFF"/>
        </w:rPr>
        <w:t>, which was the only international organization supporting the movement at the time</w:t>
      </w:r>
      <w:r w:rsidRPr="00650CC3">
        <w:rPr>
          <w:rFonts w:ascii="Times New Roman" w:hAnsi="Times New Roman" w:cs="Times New Roman"/>
          <w:sz w:val="24"/>
          <w:szCs w:val="24"/>
          <w:shd w:val="clear" w:color="auto" w:fill="FFFFFF"/>
        </w:rPr>
        <w:t xml:space="preserve">. The national Woman’s Christian Temperance Union became an international organization with its influence deeply rooted in educational, social and political elements of promoting legislation. Maine </w:t>
      </w:r>
      <w:r w:rsidRPr="00650CC3">
        <w:rPr>
          <w:rFonts w:ascii="Times New Roman" w:hAnsi="Times New Roman" w:cs="Times New Roman"/>
          <w:sz w:val="24"/>
          <w:szCs w:val="24"/>
          <w:shd w:val="clear" w:color="auto" w:fill="FFFFFF"/>
        </w:rPr>
        <w:lastRenderedPageBreak/>
        <w:t>recorded the first success of the movement to span statewide in the U.S. with a law passing on 2</w:t>
      </w:r>
      <w:r w:rsidRPr="00650CC3">
        <w:rPr>
          <w:rFonts w:ascii="Times New Roman" w:hAnsi="Times New Roman" w:cs="Times New Roman"/>
          <w:sz w:val="24"/>
          <w:szCs w:val="24"/>
          <w:shd w:val="clear" w:color="auto" w:fill="FFFFFF"/>
          <w:vertAlign w:val="superscript"/>
        </w:rPr>
        <w:t>nd</w:t>
      </w:r>
      <w:r w:rsidRPr="00650CC3">
        <w:rPr>
          <w:rFonts w:ascii="Times New Roman" w:hAnsi="Times New Roman" w:cs="Times New Roman"/>
          <w:sz w:val="24"/>
          <w:szCs w:val="24"/>
          <w:shd w:val="clear" w:color="auto" w:fill="FFFFFF"/>
        </w:rPr>
        <w:t xml:space="preserve"> June 1851. The formation of the Anti-Saloon League in 1895 found the movement changing the direction of the steam from control to legislation to enforce absolute prohibition of sale, distribution and manufacture of alcohol. The backing of churches and industrialist suffering from constant absenteeism and poor productivity led to success in passing many liquor laws throughout the nation. </w:t>
      </w:r>
    </w:p>
    <w:p w:rsidR="00F50D26" w:rsidRPr="00650CC3" w:rsidRDefault="00F50D26" w:rsidP="00650CC3">
      <w:pPr>
        <w:pStyle w:val="ListParagraph"/>
        <w:numPr>
          <w:ilvl w:val="0"/>
          <w:numId w:val="1"/>
        </w:numPr>
        <w:spacing w:line="480" w:lineRule="auto"/>
        <w:rPr>
          <w:rFonts w:ascii="Times New Roman" w:hAnsi="Times New Roman" w:cs="Times New Roman"/>
          <w:b/>
          <w:sz w:val="24"/>
          <w:szCs w:val="24"/>
          <w:shd w:val="clear" w:color="auto" w:fill="FFFFFF"/>
        </w:rPr>
      </w:pPr>
      <w:r w:rsidRPr="00650CC3">
        <w:rPr>
          <w:rFonts w:ascii="Times New Roman" w:hAnsi="Times New Roman" w:cs="Times New Roman"/>
          <w:b/>
          <w:sz w:val="24"/>
          <w:szCs w:val="24"/>
          <w:shd w:val="clear" w:color="auto" w:fill="FFFFFF"/>
        </w:rPr>
        <w:t xml:space="preserve">Discuss the transition from a predominantly amateur female movement toward a more professional male dominated political movement and how this transition affected it. </w:t>
      </w:r>
    </w:p>
    <w:p w:rsidR="003434CF" w:rsidRPr="00650CC3" w:rsidRDefault="007B3C6E" w:rsidP="00650CC3">
      <w:pPr>
        <w:spacing w:line="480" w:lineRule="auto"/>
        <w:ind w:firstLine="72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 xml:space="preserve">The temperance movement was powered by women, rooted in the protestant churches. The involvement of women is probably due to the abuse they and their children had to endure from drunken men. </w:t>
      </w:r>
      <w:r w:rsidR="00B579D6" w:rsidRPr="00650CC3">
        <w:rPr>
          <w:rFonts w:ascii="Times New Roman" w:hAnsi="Times New Roman" w:cs="Times New Roman"/>
          <w:sz w:val="24"/>
          <w:szCs w:val="24"/>
          <w:shd w:val="clear" w:color="auto" w:fill="FFFFFF"/>
        </w:rPr>
        <w:t xml:space="preserve">The movement was highly defined as the ‘Woman’s Crusade’ in the U.S., most notably after 1874 when the Woman’s Christian Temperance Union was formed. </w:t>
      </w:r>
      <w:r w:rsidRPr="00650CC3">
        <w:rPr>
          <w:rFonts w:ascii="Times New Roman" w:hAnsi="Times New Roman" w:cs="Times New Roman"/>
          <w:sz w:val="24"/>
          <w:szCs w:val="24"/>
          <w:shd w:val="clear" w:color="auto" w:fill="FFFFFF"/>
        </w:rPr>
        <w:t>The demonstrations were peaceful including prayer demonstrations at businesses serving alcohol</w:t>
      </w:r>
      <w:r w:rsidR="00CC4E34" w:rsidRPr="00650CC3">
        <w:rPr>
          <w:rFonts w:ascii="Times New Roman" w:hAnsi="Times New Roman" w:cs="Times New Roman"/>
          <w:sz w:val="24"/>
          <w:szCs w:val="24"/>
          <w:shd w:val="clear" w:color="auto" w:fill="FFFFFF"/>
        </w:rPr>
        <w:t>. Their movement propagated the notion that urban saloons acted as hosts to a variety of moral ills associated with drunkenness, inclusive of corruption, profanity, prostitution, adultery, and gambling. Their actions reflected on the morals and behaviors expected from women in the era</w:t>
      </w:r>
      <w:r w:rsidR="007470B2" w:rsidRPr="00650CC3">
        <w:rPr>
          <w:rFonts w:ascii="Times New Roman" w:hAnsi="Times New Roman" w:cs="Times New Roman"/>
          <w:sz w:val="24"/>
          <w:szCs w:val="24"/>
          <w:shd w:val="clear" w:color="auto" w:fill="FFFFFF"/>
        </w:rPr>
        <w:t>, and the moral and religious element of the movement paired diligently with the feminine roles</w:t>
      </w:r>
      <w:r w:rsidR="00CC4E34" w:rsidRPr="00650CC3">
        <w:rPr>
          <w:rFonts w:ascii="Times New Roman" w:hAnsi="Times New Roman" w:cs="Times New Roman"/>
          <w:sz w:val="24"/>
          <w:szCs w:val="24"/>
          <w:shd w:val="clear" w:color="auto" w:fill="FFFFFF"/>
        </w:rPr>
        <w:t xml:space="preserve">. As of 1831, the women organizations with efforts and initiatives geared in favor of temperance were 24. </w:t>
      </w:r>
    </w:p>
    <w:p w:rsidR="00CC4E34" w:rsidRPr="00650CC3" w:rsidRDefault="007470B2" w:rsidP="00650CC3">
      <w:pPr>
        <w:spacing w:line="480" w:lineRule="auto"/>
        <w:ind w:firstLine="72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 xml:space="preserve">With the onset of the Civil War, the efforts against alcohol dimmed down with the nation in need of the taxes from liquor. The initiatives of the temperance movements expanded to include health of soldiers and abolition. Temperance later gained tract in the 1870s after </w:t>
      </w:r>
      <w:r w:rsidRPr="00650CC3">
        <w:rPr>
          <w:rFonts w:ascii="Times New Roman" w:hAnsi="Times New Roman" w:cs="Times New Roman"/>
          <w:sz w:val="24"/>
          <w:szCs w:val="24"/>
          <w:shd w:val="clear" w:color="auto" w:fill="FFFFFF"/>
        </w:rPr>
        <w:lastRenderedPageBreak/>
        <w:t xml:space="preserve">normalcy resumed in life. </w:t>
      </w:r>
      <w:r w:rsidR="00CC4E34" w:rsidRPr="00650CC3">
        <w:rPr>
          <w:rFonts w:ascii="Times New Roman" w:hAnsi="Times New Roman" w:cs="Times New Roman"/>
          <w:sz w:val="24"/>
          <w:szCs w:val="24"/>
          <w:shd w:val="clear" w:color="auto" w:fill="FFFFFF"/>
        </w:rPr>
        <w:t>However, the movement shifted tactics. The movement now had advocates, with radical actions of raiding saloons and smashing of the liquor bottles. Carrie A. Nation was one such independent advocate, and her actions gained notoriety and support</w:t>
      </w:r>
      <w:r w:rsidR="00931116" w:rsidRPr="00650CC3">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10659349"/>
          <w:citation/>
        </w:sdtPr>
        <w:sdtEndPr/>
        <w:sdtContent>
          <w:r w:rsidR="00931116" w:rsidRPr="00650CC3">
            <w:rPr>
              <w:rFonts w:ascii="Times New Roman" w:hAnsi="Times New Roman" w:cs="Times New Roman"/>
              <w:sz w:val="24"/>
              <w:szCs w:val="24"/>
              <w:shd w:val="clear" w:color="auto" w:fill="FFFFFF"/>
            </w:rPr>
            <w:fldChar w:fldCharType="begin"/>
          </w:r>
          <w:r w:rsidR="00931116" w:rsidRPr="00650CC3">
            <w:rPr>
              <w:rFonts w:ascii="Times New Roman" w:hAnsi="Times New Roman" w:cs="Times New Roman"/>
              <w:sz w:val="24"/>
              <w:szCs w:val="24"/>
              <w:shd w:val="clear" w:color="auto" w:fill="FFFFFF"/>
            </w:rPr>
            <w:instrText xml:space="preserve"> CITATION The192 \l 1033 </w:instrText>
          </w:r>
          <w:r w:rsidR="00931116" w:rsidRPr="00650CC3">
            <w:rPr>
              <w:rFonts w:ascii="Times New Roman" w:hAnsi="Times New Roman" w:cs="Times New Roman"/>
              <w:sz w:val="24"/>
              <w:szCs w:val="24"/>
              <w:shd w:val="clear" w:color="auto" w:fill="FFFFFF"/>
            </w:rPr>
            <w:fldChar w:fldCharType="separate"/>
          </w:r>
          <w:r w:rsidR="00931116" w:rsidRPr="00650CC3">
            <w:rPr>
              <w:rFonts w:ascii="Times New Roman" w:hAnsi="Times New Roman" w:cs="Times New Roman"/>
              <w:noProof/>
              <w:sz w:val="24"/>
              <w:szCs w:val="24"/>
              <w:shd w:val="clear" w:color="auto" w:fill="FFFFFF"/>
            </w:rPr>
            <w:t>(The Mob Museum)</w:t>
          </w:r>
          <w:r w:rsidR="00931116" w:rsidRPr="00650CC3">
            <w:rPr>
              <w:rFonts w:ascii="Times New Roman" w:hAnsi="Times New Roman" w:cs="Times New Roman"/>
              <w:sz w:val="24"/>
              <w:szCs w:val="24"/>
              <w:shd w:val="clear" w:color="auto" w:fill="FFFFFF"/>
            </w:rPr>
            <w:fldChar w:fldCharType="end"/>
          </w:r>
        </w:sdtContent>
      </w:sdt>
      <w:r w:rsidR="00CC4E34" w:rsidRPr="00650CC3">
        <w:rPr>
          <w:rFonts w:ascii="Times New Roman" w:hAnsi="Times New Roman" w:cs="Times New Roman"/>
          <w:sz w:val="24"/>
          <w:szCs w:val="24"/>
          <w:shd w:val="clear" w:color="auto" w:fill="FFFFFF"/>
        </w:rPr>
        <w:t xml:space="preserve">. The influence of men gained more prominence with change of goals to prohibition rather than moderation of alcohol, and implementation of political tactics. </w:t>
      </w:r>
      <w:r w:rsidRPr="00650CC3">
        <w:rPr>
          <w:rFonts w:ascii="Times New Roman" w:hAnsi="Times New Roman" w:cs="Times New Roman"/>
          <w:sz w:val="24"/>
          <w:szCs w:val="24"/>
          <w:shd w:val="clear" w:color="auto" w:fill="FFFFFF"/>
        </w:rPr>
        <w:t xml:space="preserve">The push for state and political legislations pushed women out of the movement, since they were, at the time, not permitted to vote. </w:t>
      </w:r>
    </w:p>
    <w:p w:rsidR="00F50D26" w:rsidRPr="00650CC3" w:rsidRDefault="00F50D26" w:rsidP="00650CC3">
      <w:pPr>
        <w:pStyle w:val="ListParagraph"/>
        <w:numPr>
          <w:ilvl w:val="0"/>
          <w:numId w:val="1"/>
        </w:numPr>
        <w:spacing w:line="480" w:lineRule="auto"/>
        <w:rPr>
          <w:rFonts w:ascii="Times New Roman" w:hAnsi="Times New Roman" w:cs="Times New Roman"/>
          <w:b/>
          <w:sz w:val="24"/>
          <w:szCs w:val="24"/>
          <w:shd w:val="clear" w:color="auto" w:fill="FFFFFF"/>
        </w:rPr>
      </w:pPr>
      <w:r w:rsidRPr="00650CC3">
        <w:rPr>
          <w:rFonts w:ascii="Times New Roman" w:hAnsi="Times New Roman" w:cs="Times New Roman"/>
          <w:b/>
          <w:sz w:val="24"/>
          <w:szCs w:val="24"/>
          <w:shd w:val="clear" w:color="auto" w:fill="FFFFFF"/>
        </w:rPr>
        <w:t xml:space="preserve">How was taxation, women's suffrage, race, immigration policy, and urban versus rural conflict, related to and played out in the prohibition issue? Was it, and if so why was it necessary to employ the political strategy taken? </w:t>
      </w:r>
    </w:p>
    <w:p w:rsidR="003434CF" w:rsidRPr="00650CC3" w:rsidRDefault="00493DB8" w:rsidP="00650CC3">
      <w:pPr>
        <w:spacing w:line="480" w:lineRule="auto"/>
        <w:ind w:firstLine="36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During the Civil War, the federal government depended largely on the tax generated from the levy on whiskey and beer to fund the war. It was an approximation of 30-40% of the amount of revenue collected from the tax</w:t>
      </w:r>
      <w:r w:rsidR="00356FC6" w:rsidRPr="00650CC3">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10659344"/>
          <w:citation/>
        </w:sdtPr>
        <w:sdtEndPr/>
        <w:sdtContent>
          <w:r w:rsidR="00356FC6" w:rsidRPr="00650CC3">
            <w:rPr>
              <w:rFonts w:ascii="Times New Roman" w:hAnsi="Times New Roman" w:cs="Times New Roman"/>
              <w:sz w:val="24"/>
              <w:szCs w:val="24"/>
              <w:shd w:val="clear" w:color="auto" w:fill="FFFFFF"/>
            </w:rPr>
            <w:fldChar w:fldCharType="begin"/>
          </w:r>
          <w:r w:rsidR="00356FC6" w:rsidRPr="00650CC3">
            <w:rPr>
              <w:rFonts w:ascii="Times New Roman" w:hAnsi="Times New Roman" w:cs="Times New Roman"/>
              <w:sz w:val="24"/>
              <w:szCs w:val="24"/>
              <w:shd w:val="clear" w:color="auto" w:fill="FFFFFF"/>
            </w:rPr>
            <w:instrText xml:space="preserve"> CITATION Bis11 \l 1033 </w:instrText>
          </w:r>
          <w:r w:rsidR="00356FC6" w:rsidRPr="00650CC3">
            <w:rPr>
              <w:rFonts w:ascii="Times New Roman" w:hAnsi="Times New Roman" w:cs="Times New Roman"/>
              <w:sz w:val="24"/>
              <w:szCs w:val="24"/>
              <w:shd w:val="clear" w:color="auto" w:fill="FFFFFF"/>
            </w:rPr>
            <w:fldChar w:fldCharType="separate"/>
          </w:r>
          <w:r w:rsidR="00356FC6" w:rsidRPr="00650CC3">
            <w:rPr>
              <w:rFonts w:ascii="Times New Roman" w:hAnsi="Times New Roman" w:cs="Times New Roman"/>
              <w:noProof/>
              <w:sz w:val="24"/>
              <w:szCs w:val="24"/>
              <w:shd w:val="clear" w:color="auto" w:fill="FFFFFF"/>
            </w:rPr>
            <w:t>(Bishop-Henchman, 2011)</w:t>
          </w:r>
          <w:r w:rsidR="00356FC6" w:rsidRPr="00650CC3">
            <w:rPr>
              <w:rFonts w:ascii="Times New Roman" w:hAnsi="Times New Roman" w:cs="Times New Roman"/>
              <w:sz w:val="24"/>
              <w:szCs w:val="24"/>
              <w:shd w:val="clear" w:color="auto" w:fill="FFFFFF"/>
            </w:rPr>
            <w:fldChar w:fldCharType="end"/>
          </w:r>
        </w:sdtContent>
      </w:sdt>
      <w:r w:rsidRPr="00650CC3">
        <w:rPr>
          <w:rFonts w:ascii="Times New Roman" w:hAnsi="Times New Roman" w:cs="Times New Roman"/>
          <w:sz w:val="24"/>
          <w:szCs w:val="24"/>
          <w:shd w:val="clear" w:color="auto" w:fill="FFFFFF"/>
        </w:rPr>
        <w:t xml:space="preserve">. The necessity of the tax halted the temperance movement in its tracks. However, after the war drinking became an issue again after </w:t>
      </w:r>
      <w:r w:rsidR="00356FC6" w:rsidRPr="00650CC3">
        <w:rPr>
          <w:rFonts w:ascii="Times New Roman" w:hAnsi="Times New Roman" w:cs="Times New Roman"/>
          <w:sz w:val="24"/>
          <w:szCs w:val="24"/>
          <w:shd w:val="clear" w:color="auto" w:fill="FFFFFF"/>
        </w:rPr>
        <w:t xml:space="preserve">a significant boom in the industry. The movement rekindled its efforts with creation of major associations employing business and political tactics. The political aspects of absolute prohibition of alcohol use the forum of income tax to further the agenda of the movement. </w:t>
      </w:r>
    </w:p>
    <w:p w:rsidR="00356FC6" w:rsidRPr="00650CC3" w:rsidRDefault="009C7995" w:rsidP="00650CC3">
      <w:pPr>
        <w:spacing w:line="480" w:lineRule="auto"/>
        <w:ind w:firstLine="36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African-American pastors also attempted to change the perception of the ‘Negro Race’ on temperance. Their efforts intended to prohibit women and children from visiting barrooms and its premises. Though their efforts are in line with the temperance movement, the churches of the African-Americans were very reluctant to whole-heartedly embody the initiative</w:t>
      </w:r>
      <w:r w:rsidR="009D7A3B" w:rsidRPr="00650CC3">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10659346"/>
          <w:citation/>
        </w:sdtPr>
        <w:sdtEndPr/>
        <w:sdtContent>
          <w:r w:rsidR="009D7A3B" w:rsidRPr="00650CC3">
            <w:rPr>
              <w:rFonts w:ascii="Times New Roman" w:hAnsi="Times New Roman" w:cs="Times New Roman"/>
              <w:sz w:val="24"/>
              <w:szCs w:val="24"/>
              <w:shd w:val="clear" w:color="auto" w:fill="FFFFFF"/>
            </w:rPr>
            <w:fldChar w:fldCharType="begin"/>
          </w:r>
          <w:r w:rsidR="009D7A3B" w:rsidRPr="00650CC3">
            <w:rPr>
              <w:rFonts w:ascii="Times New Roman" w:hAnsi="Times New Roman" w:cs="Times New Roman"/>
              <w:sz w:val="24"/>
              <w:szCs w:val="24"/>
              <w:shd w:val="clear" w:color="auto" w:fill="FFFFFF"/>
            </w:rPr>
            <w:instrText xml:space="preserve"> CITATION Yac88 \l 1033 </w:instrText>
          </w:r>
          <w:r w:rsidR="009D7A3B" w:rsidRPr="00650CC3">
            <w:rPr>
              <w:rFonts w:ascii="Times New Roman" w:hAnsi="Times New Roman" w:cs="Times New Roman"/>
              <w:sz w:val="24"/>
              <w:szCs w:val="24"/>
              <w:shd w:val="clear" w:color="auto" w:fill="FFFFFF"/>
            </w:rPr>
            <w:fldChar w:fldCharType="separate"/>
          </w:r>
          <w:r w:rsidR="009D7A3B" w:rsidRPr="00650CC3">
            <w:rPr>
              <w:rFonts w:ascii="Times New Roman" w:hAnsi="Times New Roman" w:cs="Times New Roman"/>
              <w:noProof/>
              <w:sz w:val="24"/>
              <w:szCs w:val="24"/>
              <w:shd w:val="clear" w:color="auto" w:fill="FFFFFF"/>
            </w:rPr>
            <w:t>(Yacovone, 1988)</w:t>
          </w:r>
          <w:r w:rsidR="009D7A3B" w:rsidRPr="00650CC3">
            <w:rPr>
              <w:rFonts w:ascii="Times New Roman" w:hAnsi="Times New Roman" w:cs="Times New Roman"/>
              <w:sz w:val="24"/>
              <w:szCs w:val="24"/>
              <w:shd w:val="clear" w:color="auto" w:fill="FFFFFF"/>
            </w:rPr>
            <w:fldChar w:fldCharType="end"/>
          </w:r>
        </w:sdtContent>
      </w:sdt>
      <w:r w:rsidRPr="00650CC3">
        <w:rPr>
          <w:rFonts w:ascii="Times New Roman" w:hAnsi="Times New Roman" w:cs="Times New Roman"/>
          <w:sz w:val="24"/>
          <w:szCs w:val="24"/>
          <w:shd w:val="clear" w:color="auto" w:fill="FFFFFF"/>
        </w:rPr>
        <w:t xml:space="preserve">. </w:t>
      </w:r>
      <w:r w:rsidR="009D7A3B" w:rsidRPr="00650CC3">
        <w:rPr>
          <w:rFonts w:ascii="Times New Roman" w:hAnsi="Times New Roman" w:cs="Times New Roman"/>
          <w:sz w:val="24"/>
          <w:szCs w:val="24"/>
          <w:shd w:val="clear" w:color="auto" w:fill="FFFFFF"/>
        </w:rPr>
        <w:t xml:space="preserve">Women’s suffrage also shaped the movement since the instigators were women who were </w:t>
      </w:r>
      <w:r w:rsidR="009D7A3B" w:rsidRPr="00650CC3">
        <w:rPr>
          <w:rFonts w:ascii="Times New Roman" w:hAnsi="Times New Roman" w:cs="Times New Roman"/>
          <w:sz w:val="24"/>
          <w:szCs w:val="24"/>
          <w:shd w:val="clear" w:color="auto" w:fill="FFFFFF"/>
        </w:rPr>
        <w:lastRenderedPageBreak/>
        <w:t xml:space="preserve">subjected to domestic violence. Biological determinism held the perception that women were superior in morals as compared to men, and thus numerous advocates used women and their struggles in the movement </w:t>
      </w:r>
      <w:sdt>
        <w:sdtPr>
          <w:rPr>
            <w:rFonts w:ascii="Times New Roman" w:hAnsi="Times New Roman" w:cs="Times New Roman"/>
            <w:sz w:val="24"/>
            <w:szCs w:val="24"/>
            <w:shd w:val="clear" w:color="auto" w:fill="FFFFFF"/>
          </w:rPr>
          <w:id w:val="510659345"/>
          <w:citation/>
        </w:sdtPr>
        <w:sdtEndPr/>
        <w:sdtContent>
          <w:r w:rsidR="009D7A3B" w:rsidRPr="00650CC3">
            <w:rPr>
              <w:rFonts w:ascii="Times New Roman" w:hAnsi="Times New Roman" w:cs="Times New Roman"/>
              <w:sz w:val="24"/>
              <w:szCs w:val="24"/>
              <w:shd w:val="clear" w:color="auto" w:fill="FFFFFF"/>
            </w:rPr>
            <w:fldChar w:fldCharType="begin"/>
          </w:r>
          <w:r w:rsidR="009D7A3B" w:rsidRPr="00650CC3">
            <w:rPr>
              <w:rFonts w:ascii="Times New Roman" w:hAnsi="Times New Roman" w:cs="Times New Roman"/>
              <w:sz w:val="24"/>
              <w:szCs w:val="24"/>
              <w:shd w:val="clear" w:color="auto" w:fill="FFFFFF"/>
            </w:rPr>
            <w:instrText xml:space="preserve"> CITATION Eng19 \l 1033 </w:instrText>
          </w:r>
          <w:r w:rsidR="009D7A3B" w:rsidRPr="00650CC3">
            <w:rPr>
              <w:rFonts w:ascii="Times New Roman" w:hAnsi="Times New Roman" w:cs="Times New Roman"/>
              <w:sz w:val="24"/>
              <w:szCs w:val="24"/>
              <w:shd w:val="clear" w:color="auto" w:fill="FFFFFF"/>
            </w:rPr>
            <w:fldChar w:fldCharType="separate"/>
          </w:r>
          <w:r w:rsidR="009D7A3B" w:rsidRPr="00650CC3">
            <w:rPr>
              <w:rFonts w:ascii="Times New Roman" w:hAnsi="Times New Roman" w:cs="Times New Roman"/>
              <w:noProof/>
              <w:sz w:val="24"/>
              <w:szCs w:val="24"/>
              <w:shd w:val="clear" w:color="auto" w:fill="FFFFFF"/>
            </w:rPr>
            <w:t>(Engel, 2019)</w:t>
          </w:r>
          <w:r w:rsidR="009D7A3B" w:rsidRPr="00650CC3">
            <w:rPr>
              <w:rFonts w:ascii="Times New Roman" w:hAnsi="Times New Roman" w:cs="Times New Roman"/>
              <w:sz w:val="24"/>
              <w:szCs w:val="24"/>
              <w:shd w:val="clear" w:color="auto" w:fill="FFFFFF"/>
            </w:rPr>
            <w:fldChar w:fldCharType="end"/>
          </w:r>
        </w:sdtContent>
      </w:sdt>
      <w:r w:rsidR="009D7A3B" w:rsidRPr="00650CC3">
        <w:rPr>
          <w:rFonts w:ascii="Times New Roman" w:hAnsi="Times New Roman" w:cs="Times New Roman"/>
          <w:sz w:val="24"/>
          <w:szCs w:val="24"/>
          <w:shd w:val="clear" w:color="auto" w:fill="FFFFFF"/>
        </w:rPr>
        <w:t xml:space="preserve">. Organizations like WCTU provided a religious and anonymous ground for women to launch their initiatives against the two causes. </w:t>
      </w:r>
    </w:p>
    <w:p w:rsidR="00CD25AA" w:rsidRPr="00650CC3" w:rsidRDefault="005040B6" w:rsidP="00650CC3">
      <w:pPr>
        <w:spacing w:line="480" w:lineRule="auto"/>
        <w:ind w:firstLine="36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 xml:space="preserve">The temperance movement caught on in the rural societies, but its impact on urban was slightly minimal. With growing rural to urban migration, and urbanization leading to cheap alcohol, the movement influenced the urban developments. The migrations also increased the bulk of the working force for the commercial and industrial sector. However, industrialization came to hold virtues of steadiness, discipline, routine, discipline, and society, all of which contrasted with </w:t>
      </w:r>
      <w:r w:rsidR="00931116" w:rsidRPr="00650CC3">
        <w:rPr>
          <w:rFonts w:ascii="Times New Roman" w:hAnsi="Times New Roman" w:cs="Times New Roman"/>
          <w:sz w:val="24"/>
          <w:szCs w:val="24"/>
          <w:shd w:val="clear" w:color="auto" w:fill="FFFFFF"/>
        </w:rPr>
        <w:t xml:space="preserve">erratic habits demonstrated by intoxicated workforce. The employers thus favored the movement in the creation of a more humane and moral community </w:t>
      </w:r>
      <w:sdt>
        <w:sdtPr>
          <w:rPr>
            <w:rFonts w:ascii="Times New Roman" w:hAnsi="Times New Roman" w:cs="Times New Roman"/>
            <w:sz w:val="24"/>
            <w:szCs w:val="24"/>
            <w:shd w:val="clear" w:color="auto" w:fill="FFFFFF"/>
          </w:rPr>
          <w:id w:val="510659348"/>
          <w:citation/>
        </w:sdtPr>
        <w:sdtEndPr/>
        <w:sdtContent>
          <w:r w:rsidR="00931116" w:rsidRPr="00650CC3">
            <w:rPr>
              <w:rFonts w:ascii="Times New Roman" w:hAnsi="Times New Roman" w:cs="Times New Roman"/>
              <w:sz w:val="24"/>
              <w:szCs w:val="24"/>
              <w:shd w:val="clear" w:color="auto" w:fill="FFFFFF"/>
            </w:rPr>
            <w:fldChar w:fldCharType="begin"/>
          </w:r>
          <w:r w:rsidR="00931116" w:rsidRPr="00650CC3">
            <w:rPr>
              <w:rFonts w:ascii="Times New Roman" w:hAnsi="Times New Roman" w:cs="Times New Roman"/>
              <w:sz w:val="24"/>
              <w:szCs w:val="24"/>
              <w:shd w:val="clear" w:color="auto" w:fill="FFFFFF"/>
            </w:rPr>
            <w:instrText xml:space="preserve"> CITATION Uni192 \l 1033 </w:instrText>
          </w:r>
          <w:r w:rsidR="00931116" w:rsidRPr="00650CC3">
            <w:rPr>
              <w:rFonts w:ascii="Times New Roman" w:hAnsi="Times New Roman" w:cs="Times New Roman"/>
              <w:sz w:val="24"/>
              <w:szCs w:val="24"/>
              <w:shd w:val="clear" w:color="auto" w:fill="FFFFFF"/>
            </w:rPr>
            <w:fldChar w:fldCharType="separate"/>
          </w:r>
          <w:r w:rsidR="00931116" w:rsidRPr="00650CC3">
            <w:rPr>
              <w:rFonts w:ascii="Times New Roman" w:hAnsi="Times New Roman" w:cs="Times New Roman"/>
              <w:noProof/>
              <w:sz w:val="24"/>
              <w:szCs w:val="24"/>
              <w:shd w:val="clear" w:color="auto" w:fill="FFFFFF"/>
            </w:rPr>
            <w:t>(United States History)</w:t>
          </w:r>
          <w:r w:rsidR="00931116" w:rsidRPr="00650CC3">
            <w:rPr>
              <w:rFonts w:ascii="Times New Roman" w:hAnsi="Times New Roman" w:cs="Times New Roman"/>
              <w:sz w:val="24"/>
              <w:szCs w:val="24"/>
              <w:shd w:val="clear" w:color="auto" w:fill="FFFFFF"/>
            </w:rPr>
            <w:fldChar w:fldCharType="end"/>
          </w:r>
        </w:sdtContent>
      </w:sdt>
      <w:r w:rsidR="00931116" w:rsidRPr="00650CC3">
        <w:rPr>
          <w:rFonts w:ascii="Times New Roman" w:hAnsi="Times New Roman" w:cs="Times New Roman"/>
          <w:sz w:val="24"/>
          <w:szCs w:val="24"/>
          <w:shd w:val="clear" w:color="auto" w:fill="FFFFFF"/>
        </w:rPr>
        <w:t xml:space="preserve">. </w:t>
      </w:r>
      <w:r w:rsidRPr="00650CC3">
        <w:rPr>
          <w:rFonts w:ascii="Times New Roman" w:hAnsi="Times New Roman" w:cs="Times New Roman"/>
          <w:sz w:val="24"/>
          <w:szCs w:val="24"/>
          <w:shd w:val="clear" w:color="auto" w:fill="FFFFFF"/>
        </w:rPr>
        <w:t>Imm</w:t>
      </w:r>
      <w:r w:rsidR="00F43FAF" w:rsidRPr="00650CC3">
        <w:rPr>
          <w:rFonts w:ascii="Times New Roman" w:hAnsi="Times New Roman" w:cs="Times New Roman"/>
          <w:sz w:val="24"/>
          <w:szCs w:val="24"/>
          <w:shd w:val="clear" w:color="auto" w:fill="FFFFFF"/>
        </w:rPr>
        <w:t xml:space="preserve">igrations in the United States between the 1840s-1860s created an influx of the poor. The immigrants carried much of the blame for a preference for alcohol, and corruption. The immigrants were classified as intemperate, and the formation of temperance activist groups aimed at the former. Those forming the groups usually came from higher classes, and included the middle class businessmen in their insistence on the elimination of alcohol as means of liberation from addiction for the impoverished immigrants </w:t>
      </w:r>
      <w:sdt>
        <w:sdtPr>
          <w:rPr>
            <w:rFonts w:ascii="Times New Roman" w:hAnsi="Times New Roman" w:cs="Times New Roman"/>
            <w:sz w:val="24"/>
            <w:szCs w:val="24"/>
            <w:shd w:val="clear" w:color="auto" w:fill="FFFFFF"/>
          </w:rPr>
          <w:id w:val="510659347"/>
          <w:citation/>
        </w:sdtPr>
        <w:sdtEndPr/>
        <w:sdtContent>
          <w:r w:rsidR="00F43FAF" w:rsidRPr="00650CC3">
            <w:rPr>
              <w:rFonts w:ascii="Times New Roman" w:hAnsi="Times New Roman" w:cs="Times New Roman"/>
              <w:sz w:val="24"/>
              <w:szCs w:val="24"/>
              <w:shd w:val="clear" w:color="auto" w:fill="FFFFFF"/>
            </w:rPr>
            <w:fldChar w:fldCharType="begin"/>
          </w:r>
          <w:r w:rsidR="00F43FAF" w:rsidRPr="00650CC3">
            <w:rPr>
              <w:rFonts w:ascii="Times New Roman" w:hAnsi="Times New Roman" w:cs="Times New Roman"/>
              <w:sz w:val="24"/>
              <w:szCs w:val="24"/>
              <w:shd w:val="clear" w:color="auto" w:fill="FFFFFF"/>
            </w:rPr>
            <w:instrText xml:space="preserve"> CITATION Fon14 \l 1033 </w:instrText>
          </w:r>
          <w:r w:rsidR="00F43FAF" w:rsidRPr="00650CC3">
            <w:rPr>
              <w:rFonts w:ascii="Times New Roman" w:hAnsi="Times New Roman" w:cs="Times New Roman"/>
              <w:sz w:val="24"/>
              <w:szCs w:val="24"/>
              <w:shd w:val="clear" w:color="auto" w:fill="FFFFFF"/>
            </w:rPr>
            <w:fldChar w:fldCharType="separate"/>
          </w:r>
          <w:r w:rsidR="00F43FAF" w:rsidRPr="00650CC3">
            <w:rPr>
              <w:rFonts w:ascii="Times New Roman" w:hAnsi="Times New Roman" w:cs="Times New Roman"/>
              <w:noProof/>
              <w:sz w:val="24"/>
              <w:szCs w:val="24"/>
              <w:shd w:val="clear" w:color="auto" w:fill="FFFFFF"/>
            </w:rPr>
            <w:t>(Foner, 2014)</w:t>
          </w:r>
          <w:r w:rsidR="00F43FAF" w:rsidRPr="00650CC3">
            <w:rPr>
              <w:rFonts w:ascii="Times New Roman" w:hAnsi="Times New Roman" w:cs="Times New Roman"/>
              <w:sz w:val="24"/>
              <w:szCs w:val="24"/>
              <w:shd w:val="clear" w:color="auto" w:fill="FFFFFF"/>
            </w:rPr>
            <w:fldChar w:fldCharType="end"/>
          </w:r>
        </w:sdtContent>
      </w:sdt>
      <w:r w:rsidR="00F43FAF" w:rsidRPr="00650CC3">
        <w:rPr>
          <w:rFonts w:ascii="Times New Roman" w:hAnsi="Times New Roman" w:cs="Times New Roman"/>
          <w:sz w:val="24"/>
          <w:szCs w:val="24"/>
          <w:shd w:val="clear" w:color="auto" w:fill="FFFFFF"/>
        </w:rPr>
        <w:t xml:space="preserve">. </w:t>
      </w:r>
    </w:p>
    <w:p w:rsidR="00F50D26" w:rsidRPr="00650CC3" w:rsidRDefault="00F50D26" w:rsidP="00650CC3">
      <w:pPr>
        <w:pStyle w:val="ListParagraph"/>
        <w:numPr>
          <w:ilvl w:val="0"/>
          <w:numId w:val="1"/>
        </w:numPr>
        <w:spacing w:line="480" w:lineRule="auto"/>
        <w:rPr>
          <w:rFonts w:ascii="Times New Roman" w:hAnsi="Times New Roman" w:cs="Times New Roman"/>
          <w:b/>
          <w:sz w:val="24"/>
          <w:szCs w:val="24"/>
          <w:shd w:val="clear" w:color="auto" w:fill="FFFFFF"/>
        </w:rPr>
      </w:pPr>
      <w:r w:rsidRPr="00650CC3">
        <w:rPr>
          <w:rFonts w:ascii="Times New Roman" w:hAnsi="Times New Roman" w:cs="Times New Roman"/>
          <w:b/>
          <w:sz w:val="24"/>
          <w:szCs w:val="24"/>
          <w:shd w:val="clear" w:color="auto" w:fill="FFFFFF"/>
        </w:rPr>
        <w:t xml:space="preserve">How is this significant to the history of the United States? </w:t>
      </w:r>
    </w:p>
    <w:p w:rsidR="00501FB6" w:rsidRDefault="00931116" w:rsidP="00650CC3">
      <w:pPr>
        <w:spacing w:line="480" w:lineRule="auto"/>
        <w:ind w:firstLine="36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 xml:space="preserve">The temperance movement set up the foundation for political tactics that led to prohibition. The </w:t>
      </w:r>
      <w:r w:rsidR="008F4D9B" w:rsidRPr="00650CC3">
        <w:rPr>
          <w:rFonts w:ascii="Times New Roman" w:hAnsi="Times New Roman" w:cs="Times New Roman"/>
          <w:sz w:val="24"/>
          <w:szCs w:val="24"/>
          <w:shd w:val="clear" w:color="auto" w:fill="FFFFFF"/>
        </w:rPr>
        <w:t xml:space="preserve">progressive </w:t>
      </w:r>
      <w:r w:rsidRPr="00650CC3">
        <w:rPr>
          <w:rFonts w:ascii="Times New Roman" w:hAnsi="Times New Roman" w:cs="Times New Roman"/>
          <w:sz w:val="24"/>
          <w:szCs w:val="24"/>
          <w:shd w:val="clear" w:color="auto" w:fill="FFFFFF"/>
        </w:rPr>
        <w:t xml:space="preserve">movement is a significant era in the American history since it also opened up </w:t>
      </w:r>
      <w:r w:rsidR="008F4D9B" w:rsidRPr="00650CC3">
        <w:rPr>
          <w:rFonts w:ascii="Times New Roman" w:hAnsi="Times New Roman" w:cs="Times New Roman"/>
          <w:sz w:val="24"/>
          <w:szCs w:val="24"/>
          <w:shd w:val="clear" w:color="auto" w:fill="FFFFFF"/>
        </w:rPr>
        <w:t xml:space="preserve">legislative and activist movement for the rights of women to vote and from oppression. Given that the movement led to the legislation of prohibition, it also ascertains the important lessons </w:t>
      </w:r>
      <w:r w:rsidR="008F4D9B" w:rsidRPr="00650CC3">
        <w:rPr>
          <w:rFonts w:ascii="Times New Roman" w:hAnsi="Times New Roman" w:cs="Times New Roman"/>
          <w:sz w:val="24"/>
          <w:szCs w:val="24"/>
          <w:shd w:val="clear" w:color="auto" w:fill="FFFFFF"/>
        </w:rPr>
        <w:lastRenderedPageBreak/>
        <w:t xml:space="preserve">learnt that influence current issues such as bans on insider trading, gambling, censorship, current initiatives against access for tobacco and alcohol, and the war on drugs. </w:t>
      </w:r>
    </w:p>
    <w:p w:rsidR="00501FB6" w:rsidRDefault="00501FB6">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bookmarkStart w:id="0" w:name="_GoBack" w:displacedByCustomXml="next"/>
    <w:bookmarkEnd w:id="0" w:displacedByCustomXml="next"/>
    <w:sdt>
      <w:sdtPr>
        <w:rPr>
          <w:rFonts w:ascii="Times New Roman" w:eastAsiaTheme="minorEastAsia" w:hAnsi="Times New Roman" w:cs="Times New Roman"/>
          <w:b w:val="0"/>
          <w:bCs w:val="0"/>
          <w:color w:val="auto"/>
          <w:sz w:val="24"/>
          <w:szCs w:val="24"/>
          <w:lang w:bidi="ar-SA"/>
        </w:rPr>
        <w:id w:val="510659352"/>
        <w:docPartObj>
          <w:docPartGallery w:val="Bibliographies"/>
          <w:docPartUnique/>
        </w:docPartObj>
      </w:sdtPr>
      <w:sdtEndPr/>
      <w:sdtContent>
        <w:p w:rsidR="00650CC3" w:rsidRPr="00650CC3" w:rsidRDefault="00650CC3" w:rsidP="00650CC3">
          <w:pPr>
            <w:pStyle w:val="Heading1"/>
            <w:spacing w:line="480" w:lineRule="auto"/>
            <w:jc w:val="center"/>
            <w:rPr>
              <w:rFonts w:ascii="Times New Roman" w:hAnsi="Times New Roman" w:cs="Times New Roman"/>
              <w:color w:val="auto"/>
              <w:sz w:val="24"/>
              <w:szCs w:val="24"/>
            </w:rPr>
          </w:pPr>
          <w:r w:rsidRPr="00650CC3">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sz w:val="24"/>
                  <w:szCs w:val="24"/>
                </w:rPr>
                <w:fldChar w:fldCharType="begin"/>
              </w:r>
              <w:r w:rsidRPr="00650CC3">
                <w:rPr>
                  <w:rFonts w:ascii="Times New Roman" w:hAnsi="Times New Roman" w:cs="Times New Roman"/>
                  <w:sz w:val="24"/>
                  <w:szCs w:val="24"/>
                </w:rPr>
                <w:instrText xml:space="preserve"> BIBLIOGRAPHY </w:instrText>
              </w:r>
              <w:r w:rsidRPr="00650CC3">
                <w:rPr>
                  <w:rFonts w:ascii="Times New Roman" w:hAnsi="Times New Roman" w:cs="Times New Roman"/>
                  <w:sz w:val="24"/>
                  <w:szCs w:val="24"/>
                </w:rPr>
                <w:fldChar w:fldCharType="separate"/>
              </w:r>
              <w:r w:rsidRPr="00650CC3">
                <w:rPr>
                  <w:rFonts w:ascii="Times New Roman" w:hAnsi="Times New Roman" w:cs="Times New Roman"/>
                  <w:noProof/>
                  <w:sz w:val="24"/>
                  <w:szCs w:val="24"/>
                </w:rPr>
                <w:t xml:space="preserve">Bishop-Henchman, J. (2011, October 5). </w:t>
              </w:r>
              <w:r w:rsidRPr="00650CC3">
                <w:rPr>
                  <w:rFonts w:ascii="Times New Roman" w:hAnsi="Times New Roman" w:cs="Times New Roman"/>
                  <w:i/>
                  <w:iCs/>
                  <w:noProof/>
                  <w:sz w:val="24"/>
                  <w:szCs w:val="24"/>
                </w:rPr>
                <w:t>How Taxes Enabled Alcohol Prohibition and Also Led to its repeal</w:t>
              </w:r>
              <w:r w:rsidRPr="00650CC3">
                <w:rPr>
                  <w:rFonts w:ascii="Times New Roman" w:hAnsi="Times New Roman" w:cs="Times New Roman"/>
                  <w:noProof/>
                  <w:sz w:val="24"/>
                  <w:szCs w:val="24"/>
                </w:rPr>
                <w:t>. Retrieved September 9, 2019, from Tax Foundation.org: https://taxfoundation.org/how-taxes-enabled-alcohol-prohibition-and-also-led-its-repeal/</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t xml:space="preserve">DPLA. (n.d.). </w:t>
              </w:r>
              <w:r w:rsidRPr="00650CC3">
                <w:rPr>
                  <w:rFonts w:ascii="Times New Roman" w:hAnsi="Times New Roman" w:cs="Times New Roman"/>
                  <w:i/>
                  <w:iCs/>
                  <w:noProof/>
                  <w:sz w:val="24"/>
                  <w:szCs w:val="24"/>
                </w:rPr>
                <w:t>Women and the Temperance Movement</w:t>
              </w:r>
              <w:r w:rsidRPr="00650CC3">
                <w:rPr>
                  <w:rFonts w:ascii="Times New Roman" w:hAnsi="Times New Roman" w:cs="Times New Roman"/>
                  <w:noProof/>
                  <w:sz w:val="24"/>
                  <w:szCs w:val="24"/>
                </w:rPr>
                <w:t>. Retrieved September 9, 2019, from Digital Pubic Library of America: https://dp.la/primary-source-sets/women-and-the-temperance-movement</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t xml:space="preserve">Engel, K. (2019, June 22). </w:t>
              </w:r>
              <w:r w:rsidRPr="00650CC3">
                <w:rPr>
                  <w:rFonts w:ascii="Times New Roman" w:hAnsi="Times New Roman" w:cs="Times New Roman"/>
                  <w:i/>
                  <w:iCs/>
                  <w:noProof/>
                  <w:sz w:val="24"/>
                  <w:szCs w:val="24"/>
                </w:rPr>
                <w:t>Women's Suffrae and Prohibition: Strange Allies</w:t>
              </w:r>
              <w:r w:rsidRPr="00650CC3">
                <w:rPr>
                  <w:rFonts w:ascii="Times New Roman" w:hAnsi="Times New Roman" w:cs="Times New Roman"/>
                  <w:noProof/>
                  <w:sz w:val="24"/>
                  <w:szCs w:val="24"/>
                </w:rPr>
                <w:t>. Retrieved September 9, 2019, from Amazing Women History: https://amazingwomeninhistory.com/womens-suffrage-and-temperance-movement/</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t xml:space="preserve">Foner, E. (2014). </w:t>
              </w:r>
              <w:r w:rsidRPr="00650CC3">
                <w:rPr>
                  <w:rFonts w:ascii="Times New Roman" w:hAnsi="Times New Roman" w:cs="Times New Roman"/>
                  <w:i/>
                  <w:iCs/>
                  <w:noProof/>
                  <w:sz w:val="24"/>
                  <w:szCs w:val="24"/>
                </w:rPr>
                <w:t>Give Me Liberty: An American History</w:t>
              </w:r>
              <w:r w:rsidRPr="00650CC3">
                <w:rPr>
                  <w:rFonts w:ascii="Times New Roman" w:hAnsi="Times New Roman" w:cs="Times New Roman"/>
                  <w:noProof/>
                  <w:sz w:val="24"/>
                  <w:szCs w:val="24"/>
                </w:rPr>
                <w:t xml:space="preserve"> (4 ed.). New York: W. W. Norton.</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t xml:space="preserve">The Mob Museum. (n.d.). </w:t>
              </w:r>
              <w:r w:rsidRPr="00650CC3">
                <w:rPr>
                  <w:rFonts w:ascii="Times New Roman" w:hAnsi="Times New Roman" w:cs="Times New Roman"/>
                  <w:i/>
                  <w:iCs/>
                  <w:noProof/>
                  <w:sz w:val="24"/>
                  <w:szCs w:val="24"/>
                </w:rPr>
                <w:t>Women Led the Temperance Charge</w:t>
              </w:r>
              <w:r w:rsidRPr="00650CC3">
                <w:rPr>
                  <w:rFonts w:ascii="Times New Roman" w:hAnsi="Times New Roman" w:cs="Times New Roman"/>
                  <w:noProof/>
                  <w:sz w:val="24"/>
                  <w:szCs w:val="24"/>
                </w:rPr>
                <w:t>. Retrieved September 9, 2019, from The Mob Museum: http://prohibition.themobmuseum.org/the-history/the-road-to-prohibition/the-temperance-movement/</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t xml:space="preserve">United States History. (n.d.). </w:t>
              </w:r>
              <w:r w:rsidRPr="00650CC3">
                <w:rPr>
                  <w:rFonts w:ascii="Times New Roman" w:hAnsi="Times New Roman" w:cs="Times New Roman"/>
                  <w:i/>
                  <w:iCs/>
                  <w:noProof/>
                  <w:sz w:val="24"/>
                  <w:szCs w:val="24"/>
                </w:rPr>
                <w:t>The Temperance Movement</w:t>
              </w:r>
              <w:r w:rsidRPr="00650CC3">
                <w:rPr>
                  <w:rFonts w:ascii="Times New Roman" w:hAnsi="Times New Roman" w:cs="Times New Roman"/>
                  <w:noProof/>
                  <w:sz w:val="24"/>
                  <w:szCs w:val="24"/>
                </w:rPr>
                <w:t>. Retrieved September 9, 2019, from United States History: https://www.u-s-history.com/pages/h1054.html</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t xml:space="preserve">Wynn, N. (2019, January 16). </w:t>
              </w:r>
              <w:r w:rsidRPr="00650CC3">
                <w:rPr>
                  <w:rFonts w:ascii="Times New Roman" w:hAnsi="Times New Roman" w:cs="Times New Roman"/>
                  <w:i/>
                  <w:iCs/>
                  <w:noProof/>
                  <w:sz w:val="24"/>
                  <w:szCs w:val="24"/>
                </w:rPr>
                <w:t>"A Great Social Experiment": Your Guide to Prohibition</w:t>
              </w:r>
              <w:r w:rsidRPr="00650CC3">
                <w:rPr>
                  <w:rFonts w:ascii="Times New Roman" w:hAnsi="Times New Roman" w:cs="Times New Roman"/>
                  <w:noProof/>
                  <w:sz w:val="24"/>
                  <w:szCs w:val="24"/>
                </w:rPr>
                <w:t>. Retrieved September 9, 2019, from History Extra: https://www.historyextra.com/period/20th-century/prohibition-history-facts-what-when-start-why-passed-america-ban-alcohol/</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lastRenderedPageBreak/>
                <w:t xml:space="preserve">Yacovone, D. (1988). The Tranformation of Black Temperance. </w:t>
              </w:r>
              <w:r w:rsidRPr="00650CC3">
                <w:rPr>
                  <w:rFonts w:ascii="Times New Roman" w:hAnsi="Times New Roman" w:cs="Times New Roman"/>
                  <w:i/>
                  <w:iCs/>
                  <w:noProof/>
                  <w:sz w:val="24"/>
                  <w:szCs w:val="24"/>
                </w:rPr>
                <w:t>Journal of Early Republic</w:t>
              </w:r>
              <w:r w:rsidRPr="00650CC3">
                <w:rPr>
                  <w:rFonts w:ascii="Times New Roman" w:hAnsi="Times New Roman" w:cs="Times New Roman"/>
                  <w:noProof/>
                  <w:sz w:val="24"/>
                  <w:szCs w:val="24"/>
                </w:rPr>
                <w:t xml:space="preserve"> </w:t>
              </w:r>
              <w:r w:rsidRPr="00650CC3">
                <w:rPr>
                  <w:rFonts w:ascii="Times New Roman" w:hAnsi="Times New Roman" w:cs="Times New Roman"/>
                  <w:i/>
                  <w:iCs/>
                  <w:noProof/>
                  <w:sz w:val="24"/>
                  <w:szCs w:val="24"/>
                </w:rPr>
                <w:t>, 8</w:t>
              </w:r>
              <w:r w:rsidRPr="00650CC3">
                <w:rPr>
                  <w:rFonts w:ascii="Times New Roman" w:hAnsi="Times New Roman" w:cs="Times New Roman"/>
                  <w:noProof/>
                  <w:sz w:val="24"/>
                  <w:szCs w:val="24"/>
                </w:rPr>
                <w:t xml:space="preserve"> (3), 281-297.</w:t>
              </w:r>
            </w:p>
            <w:p w:rsidR="00650CC3" w:rsidRPr="00650CC3" w:rsidRDefault="00650CC3" w:rsidP="00650CC3">
              <w:pPr>
                <w:spacing w:line="480" w:lineRule="auto"/>
                <w:ind w:left="720" w:hanging="720"/>
                <w:rPr>
                  <w:rFonts w:ascii="Times New Roman" w:hAnsi="Times New Roman" w:cs="Times New Roman"/>
                  <w:sz w:val="24"/>
                  <w:szCs w:val="24"/>
                </w:rPr>
              </w:pPr>
              <w:r w:rsidRPr="00650CC3">
                <w:rPr>
                  <w:rFonts w:ascii="Times New Roman" w:hAnsi="Times New Roman" w:cs="Times New Roman"/>
                  <w:sz w:val="24"/>
                  <w:szCs w:val="24"/>
                </w:rPr>
                <w:fldChar w:fldCharType="end"/>
              </w:r>
            </w:p>
          </w:sdtContent>
        </w:sdt>
      </w:sdtContent>
    </w:sdt>
    <w:p w:rsidR="00B332F4" w:rsidRPr="00650CC3" w:rsidRDefault="00B332F4" w:rsidP="00650CC3">
      <w:pPr>
        <w:spacing w:line="480" w:lineRule="auto"/>
        <w:ind w:firstLine="360"/>
        <w:rPr>
          <w:rFonts w:ascii="Times New Roman" w:hAnsi="Times New Roman" w:cs="Times New Roman"/>
          <w:sz w:val="24"/>
          <w:szCs w:val="24"/>
        </w:rPr>
      </w:pPr>
    </w:p>
    <w:sectPr w:rsidR="00B332F4" w:rsidRPr="00650CC3" w:rsidSect="00650C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2AC" w:rsidRDefault="000D32AC" w:rsidP="00650CC3">
      <w:pPr>
        <w:spacing w:after="0" w:line="240" w:lineRule="auto"/>
      </w:pPr>
      <w:r>
        <w:separator/>
      </w:r>
    </w:p>
  </w:endnote>
  <w:endnote w:type="continuationSeparator" w:id="0">
    <w:p w:rsidR="000D32AC" w:rsidRDefault="000D32AC" w:rsidP="00650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2AC" w:rsidRDefault="000D32AC" w:rsidP="00650CC3">
      <w:pPr>
        <w:spacing w:after="0" w:line="240" w:lineRule="auto"/>
      </w:pPr>
      <w:r>
        <w:separator/>
      </w:r>
    </w:p>
  </w:footnote>
  <w:footnote w:type="continuationSeparator" w:id="0">
    <w:p w:rsidR="000D32AC" w:rsidRDefault="000D32AC" w:rsidP="00650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CC3" w:rsidRPr="00650CC3" w:rsidRDefault="00650CC3">
    <w:pPr>
      <w:pStyle w:val="Header"/>
      <w:jc w:val="right"/>
      <w:rPr>
        <w:rFonts w:ascii="Times New Roman" w:hAnsi="Times New Roman" w:cs="Times New Roman"/>
        <w:sz w:val="24"/>
      </w:rPr>
    </w:pPr>
    <w:r w:rsidRPr="00650CC3">
      <w:rPr>
        <w:rFonts w:ascii="Times New Roman" w:hAnsi="Times New Roman" w:cs="Times New Roman"/>
        <w:sz w:val="24"/>
      </w:rPr>
      <w:t>THE TEMPERANCE MOVEMENT AND PROHIBITION</w:t>
    </w:r>
    <w:r w:rsidRPr="00650CC3">
      <w:rPr>
        <w:rFonts w:ascii="Times New Roman" w:hAnsi="Times New Roman" w:cs="Times New Roman"/>
        <w:sz w:val="24"/>
      </w:rPr>
      <w:tab/>
    </w:r>
    <w:sdt>
      <w:sdtPr>
        <w:rPr>
          <w:rFonts w:ascii="Times New Roman" w:hAnsi="Times New Roman" w:cs="Times New Roman"/>
          <w:sz w:val="24"/>
        </w:rPr>
        <w:id w:val="510659357"/>
        <w:docPartObj>
          <w:docPartGallery w:val="Page Numbers (Top of Page)"/>
          <w:docPartUnique/>
        </w:docPartObj>
      </w:sdtPr>
      <w:sdtEndPr/>
      <w:sdtContent>
        <w:r w:rsidRPr="00650CC3">
          <w:rPr>
            <w:rFonts w:ascii="Times New Roman" w:hAnsi="Times New Roman" w:cs="Times New Roman"/>
            <w:sz w:val="24"/>
          </w:rPr>
          <w:fldChar w:fldCharType="begin"/>
        </w:r>
        <w:r w:rsidRPr="00650CC3">
          <w:rPr>
            <w:rFonts w:ascii="Times New Roman" w:hAnsi="Times New Roman" w:cs="Times New Roman"/>
            <w:sz w:val="24"/>
          </w:rPr>
          <w:instrText xml:space="preserve"> PAGE   \* MERGEFORMAT </w:instrText>
        </w:r>
        <w:r w:rsidRPr="00650CC3">
          <w:rPr>
            <w:rFonts w:ascii="Times New Roman" w:hAnsi="Times New Roman" w:cs="Times New Roman"/>
            <w:sz w:val="24"/>
          </w:rPr>
          <w:fldChar w:fldCharType="separate"/>
        </w:r>
        <w:r w:rsidR="00501FB6">
          <w:rPr>
            <w:rFonts w:ascii="Times New Roman" w:hAnsi="Times New Roman" w:cs="Times New Roman"/>
            <w:noProof/>
            <w:sz w:val="24"/>
          </w:rPr>
          <w:t>2</w:t>
        </w:r>
        <w:r w:rsidRPr="00650CC3">
          <w:rPr>
            <w:rFonts w:ascii="Times New Roman" w:hAnsi="Times New Roman" w:cs="Times New Roman"/>
            <w:sz w:val="24"/>
          </w:rPr>
          <w:fldChar w:fldCharType="end"/>
        </w:r>
      </w:sdtContent>
    </w:sdt>
  </w:p>
  <w:p w:rsidR="00650CC3" w:rsidRPr="00650CC3" w:rsidRDefault="00650CC3">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CC3" w:rsidRPr="00650CC3" w:rsidRDefault="00650CC3">
    <w:pPr>
      <w:pStyle w:val="Header"/>
      <w:jc w:val="right"/>
      <w:rPr>
        <w:rFonts w:ascii="Times New Roman" w:hAnsi="Times New Roman" w:cs="Times New Roman"/>
        <w:sz w:val="24"/>
      </w:rPr>
    </w:pPr>
    <w:r w:rsidRPr="00650CC3">
      <w:rPr>
        <w:rFonts w:ascii="Times New Roman" w:hAnsi="Times New Roman" w:cs="Times New Roman"/>
        <w:sz w:val="24"/>
      </w:rPr>
      <w:t xml:space="preserve">Running Head: THE TEMPERANCE MOVEMENT AND PROHIBITION </w:t>
    </w:r>
    <w:r w:rsidRPr="00650CC3">
      <w:rPr>
        <w:rFonts w:ascii="Times New Roman" w:hAnsi="Times New Roman" w:cs="Times New Roman"/>
        <w:sz w:val="24"/>
      </w:rPr>
      <w:tab/>
    </w:r>
    <w:sdt>
      <w:sdtPr>
        <w:rPr>
          <w:rFonts w:ascii="Times New Roman" w:hAnsi="Times New Roman" w:cs="Times New Roman"/>
          <w:sz w:val="24"/>
        </w:rPr>
        <w:id w:val="510659401"/>
        <w:docPartObj>
          <w:docPartGallery w:val="Page Numbers (Top of Page)"/>
          <w:docPartUnique/>
        </w:docPartObj>
      </w:sdtPr>
      <w:sdtEndPr/>
      <w:sdtContent>
        <w:r w:rsidRPr="00650CC3">
          <w:rPr>
            <w:rFonts w:ascii="Times New Roman" w:hAnsi="Times New Roman" w:cs="Times New Roman"/>
            <w:sz w:val="24"/>
          </w:rPr>
          <w:fldChar w:fldCharType="begin"/>
        </w:r>
        <w:r w:rsidRPr="00650CC3">
          <w:rPr>
            <w:rFonts w:ascii="Times New Roman" w:hAnsi="Times New Roman" w:cs="Times New Roman"/>
            <w:sz w:val="24"/>
          </w:rPr>
          <w:instrText xml:space="preserve"> PAGE   \* MERGEFORMAT </w:instrText>
        </w:r>
        <w:r w:rsidRPr="00650CC3">
          <w:rPr>
            <w:rFonts w:ascii="Times New Roman" w:hAnsi="Times New Roman" w:cs="Times New Roman"/>
            <w:sz w:val="24"/>
          </w:rPr>
          <w:fldChar w:fldCharType="separate"/>
        </w:r>
        <w:r w:rsidR="00501FB6">
          <w:rPr>
            <w:rFonts w:ascii="Times New Roman" w:hAnsi="Times New Roman" w:cs="Times New Roman"/>
            <w:noProof/>
            <w:sz w:val="24"/>
          </w:rPr>
          <w:t>1</w:t>
        </w:r>
        <w:r w:rsidRPr="00650CC3">
          <w:rPr>
            <w:rFonts w:ascii="Times New Roman" w:hAnsi="Times New Roman" w:cs="Times New Roman"/>
            <w:sz w:val="24"/>
          </w:rPr>
          <w:fldChar w:fldCharType="end"/>
        </w:r>
      </w:sdtContent>
    </w:sdt>
  </w:p>
  <w:p w:rsidR="00650CC3" w:rsidRPr="00650CC3" w:rsidRDefault="00650CC3">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A3713"/>
    <w:multiLevelType w:val="hybridMultilevel"/>
    <w:tmpl w:val="D2B4E7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D26"/>
    <w:rsid w:val="000D32AC"/>
    <w:rsid w:val="000E2BF2"/>
    <w:rsid w:val="003434CF"/>
    <w:rsid w:val="00356FC6"/>
    <w:rsid w:val="00493DB8"/>
    <w:rsid w:val="00501FB6"/>
    <w:rsid w:val="005040B6"/>
    <w:rsid w:val="0057010E"/>
    <w:rsid w:val="00650CC3"/>
    <w:rsid w:val="007439AE"/>
    <w:rsid w:val="007470B2"/>
    <w:rsid w:val="007B3C6E"/>
    <w:rsid w:val="008F4D9B"/>
    <w:rsid w:val="00931116"/>
    <w:rsid w:val="009C7995"/>
    <w:rsid w:val="009D7A3B"/>
    <w:rsid w:val="00A766E8"/>
    <w:rsid w:val="00AC7C2B"/>
    <w:rsid w:val="00B332F4"/>
    <w:rsid w:val="00B34DA5"/>
    <w:rsid w:val="00B579D6"/>
    <w:rsid w:val="00B62C60"/>
    <w:rsid w:val="00C15644"/>
    <w:rsid w:val="00CC4E34"/>
    <w:rsid w:val="00CD25AA"/>
    <w:rsid w:val="00D97300"/>
    <w:rsid w:val="00F43FAF"/>
    <w:rsid w:val="00F50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39C43"/>
  <w15:docId w15:val="{EE268472-ACD4-4097-A72D-7FBE6BC2A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50CC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4CF"/>
    <w:pPr>
      <w:ind w:left="720"/>
      <w:contextualSpacing/>
    </w:pPr>
  </w:style>
  <w:style w:type="paragraph" w:styleId="BalloonText">
    <w:name w:val="Balloon Text"/>
    <w:basedOn w:val="Normal"/>
    <w:link w:val="BalloonTextChar"/>
    <w:uiPriority w:val="99"/>
    <w:semiHidden/>
    <w:unhideWhenUsed/>
    <w:rsid w:val="00356F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FC6"/>
    <w:rPr>
      <w:rFonts w:ascii="Tahoma" w:hAnsi="Tahoma" w:cs="Tahoma"/>
      <w:sz w:val="16"/>
      <w:szCs w:val="16"/>
    </w:rPr>
  </w:style>
  <w:style w:type="character" w:customStyle="1" w:styleId="Heading1Char">
    <w:name w:val="Heading 1 Char"/>
    <w:basedOn w:val="DefaultParagraphFont"/>
    <w:link w:val="Heading1"/>
    <w:uiPriority w:val="9"/>
    <w:rsid w:val="00650CC3"/>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50CC3"/>
  </w:style>
  <w:style w:type="paragraph" w:styleId="Header">
    <w:name w:val="header"/>
    <w:basedOn w:val="Normal"/>
    <w:link w:val="HeaderChar"/>
    <w:uiPriority w:val="99"/>
    <w:unhideWhenUsed/>
    <w:rsid w:val="00650C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CC3"/>
  </w:style>
  <w:style w:type="paragraph" w:styleId="Footer">
    <w:name w:val="footer"/>
    <w:basedOn w:val="Normal"/>
    <w:link w:val="FooterChar"/>
    <w:uiPriority w:val="99"/>
    <w:semiHidden/>
    <w:unhideWhenUsed/>
    <w:rsid w:val="00650C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0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Bis11</b:Tag>
    <b:SourceType>InternetSite</b:SourceType>
    <b:Guid>{E2DCF789-7E52-4DB0-8DEF-B5F8F5E0B26E}</b:Guid>
    <b:Author>
      <b:Author>
        <b:NameList>
          <b:Person>
            <b:Last>Bishop-Henchman</b:Last>
            <b:First>Jseph</b:First>
          </b:Person>
        </b:NameList>
      </b:Author>
    </b:Author>
    <b:Title>How Taxes Enabled Alcohol Prohibition and Also Led to its repeal</b:Title>
    <b:Year>2011</b:Year>
    <b:InternetSiteTitle>Tax Foundation.org</b:InternetSiteTitle>
    <b:Month>October</b:Month>
    <b:Day>5</b:Day>
    <b:YearAccessed>2019</b:YearAccessed>
    <b:MonthAccessed>September</b:MonthAccessed>
    <b:DayAccessed>9</b:DayAccessed>
    <b:URL>https://taxfoundation.org/how-taxes-enabled-alcohol-prohibition-and-also-led-its-repeal/</b:URL>
    <b:RefOrder>3</b:RefOrder>
  </b:Source>
  <b:Source>
    <b:Tag>Eng19</b:Tag>
    <b:SourceType>InternetSite</b:SourceType>
    <b:Guid>{9815660E-51FD-47CB-87B4-36854C98FD90}</b:Guid>
    <b:Author>
      <b:Author>
        <b:NameList>
          <b:Person>
            <b:Last>Engel</b:Last>
            <b:First>Keri</b:First>
          </b:Person>
        </b:NameList>
      </b:Author>
    </b:Author>
    <b:Title>Women's Suffrae and Prohibition: Strange Allies</b:Title>
    <b:InternetSiteTitle>Amazing Women History</b:InternetSiteTitle>
    <b:Year>2019</b:Year>
    <b:Month>June</b:Month>
    <b:Day>22</b:Day>
    <b:YearAccessed>2019</b:YearAccessed>
    <b:MonthAccessed>September</b:MonthAccessed>
    <b:DayAccessed>9</b:DayAccessed>
    <b:URL>https://amazingwomeninhistory.com/womens-suffrage-and-temperance-movement/</b:URL>
    <b:RefOrder>5</b:RefOrder>
  </b:Source>
  <b:Source>
    <b:Tag>Yac88</b:Tag>
    <b:SourceType>JournalArticle</b:SourceType>
    <b:Guid>{9B05C000-2779-4427-AFF0-654F2633386D}</b:Guid>
    <b:Author>
      <b:Author>
        <b:NameList>
          <b:Person>
            <b:Last>Yacovone</b:Last>
            <b:First>Donald</b:First>
          </b:Person>
        </b:NameList>
      </b:Author>
    </b:Author>
    <b:Title>The Tranformation of Black Temperance</b:Title>
    <b:JournalName>Journal of Early Republic</b:JournalName>
    <b:Year>1988</b:Year>
    <b:Pages>281-297</b:Pages>
    <b:Volume>8</b:Volume>
    <b:Issue>3</b:Issue>
    <b:RefOrder>4</b:RefOrder>
  </b:Source>
  <b:Source>
    <b:Tag>Fon14</b:Tag>
    <b:SourceType>Book</b:SourceType>
    <b:Guid>{3A724764-5F34-4E69-94B6-7486DD555919}</b:Guid>
    <b:Author>
      <b:Author>
        <b:NameList>
          <b:Person>
            <b:Last>Foner</b:Last>
            <b:First>Eric</b:First>
          </b:Person>
        </b:NameList>
      </b:Author>
    </b:Author>
    <b:Title>Give Me Liberty: An American History</b:Title>
    <b:Year>2014</b:Year>
    <b:City>New York</b:City>
    <b:Publisher>W. W. Norton</b:Publisher>
    <b:ShortTitle>Print</b:ShortTitle>
    <b:Edition>4</b:Edition>
    <b:RefOrder>7</b:RefOrder>
  </b:Source>
  <b:Source>
    <b:Tag>Uni192</b:Tag>
    <b:SourceType>InternetSite</b:SourceType>
    <b:Guid>{8A34D98F-5B4A-4C39-ABA8-FFC1B13CF02E}</b:Guid>
    <b:Author>
      <b:Author>
        <b:Corporate>United States History</b:Corporate>
      </b:Author>
    </b:Author>
    <b:Title>The Temperance Movement</b:Title>
    <b:InternetSiteTitle>United States History</b:InternetSiteTitle>
    <b:YearAccessed>2019</b:YearAccessed>
    <b:MonthAccessed>September</b:MonthAccessed>
    <b:DayAccessed>9</b:DayAccessed>
    <b:URL>https://www.u-s-history.com/pages/h1054.html</b:URL>
    <b:RefOrder>6</b:RefOrder>
  </b:Source>
  <b:Source>
    <b:Tag>The192</b:Tag>
    <b:SourceType>InternetSite</b:SourceType>
    <b:Guid>{269C4617-FAF1-410C-A711-B7CFFBDA2B88}</b:Guid>
    <b:Author>
      <b:Author>
        <b:Corporate>The Mob Museum</b:Corporate>
      </b:Author>
    </b:Author>
    <b:Title>Women Led the Temperance Charge</b:Title>
    <b:InternetSiteTitle>The Mob Museum</b:InternetSiteTitle>
    <b:YearAccessed>2019</b:YearAccessed>
    <b:MonthAccessed>September</b:MonthAccessed>
    <b:DayAccessed>9</b:DayAccessed>
    <b:URL>http://prohibition.themobmuseum.org/the-history/the-road-to-prohibition/the-temperance-movement/</b:URL>
    <b:RefOrder>2</b:RefOrder>
  </b:Source>
  <b:Source>
    <b:Tag>DPL19</b:Tag>
    <b:SourceType>InternetSite</b:SourceType>
    <b:Guid>{8E847CE6-2145-4A65-9A90-A8F82447B9E2}</b:Guid>
    <b:Author>
      <b:Author>
        <b:Corporate>DPLA</b:Corporate>
      </b:Author>
    </b:Author>
    <b:Title>Women and the Temperance Movement</b:Title>
    <b:InternetSiteTitle>Digital Pubic Library of America</b:InternetSiteTitle>
    <b:YearAccessed>2019</b:YearAccessed>
    <b:MonthAccessed>September</b:MonthAccessed>
    <b:DayAccessed>9</b:DayAccessed>
    <b:URL>https://dp.la/primary-source-sets/women-and-the-temperance-movement</b:URL>
    <b:RefOrder>1</b:RefOrder>
  </b:Source>
  <b:Source>
    <b:Tag>Wyn19</b:Tag>
    <b:SourceType>InternetSite</b:SourceType>
    <b:Guid>{742AAE9F-127B-4991-9CA2-84E89496FE62}</b:Guid>
    <b:Author>
      <b:Author>
        <b:NameList>
          <b:Person>
            <b:Last>Wynn</b:Last>
            <b:First>Neil</b:First>
          </b:Person>
        </b:NameList>
      </b:Author>
    </b:Author>
    <b:Title>"A Great Social Experiment": Your Guide to Prohibition</b:Title>
    <b:InternetSiteTitle>History Extra</b:InternetSiteTitle>
    <b:Year>2019</b:Year>
    <b:Month>January</b:Month>
    <b:Day>16</b:Day>
    <b:YearAccessed>2019</b:YearAccessed>
    <b:MonthAccessed>September</b:MonthAccessed>
    <b:DayAccessed>9</b:DayAccessed>
    <b:URL>https://www.historyextra.com/period/20th-century/prohibition-history-facts-what-when-start-why-passed-america-ban-alcohol/</b:URL>
    <b:RefOrder>8</b:RefOrder>
  </b:Source>
</b:Sources>
</file>

<file path=customXml/itemProps1.xml><?xml version="1.0" encoding="utf-8"?>
<ds:datastoreItem xmlns:ds="http://schemas.openxmlformats.org/officeDocument/2006/customXml" ds:itemID="{5C867296-774C-4EEB-9409-5BD77CB9C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1420</Words>
  <Characters>8097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2019-09-10T04:53:00Z</dcterms:created>
  <dcterms:modified xsi:type="dcterms:W3CDTF">2019-09-10T04:53:00Z</dcterms:modified>
</cp:coreProperties>
</file>